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Women’s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Overview</w:t>
      </w:r>
    </w:p>
    <w:p w:rsidR="00000000" w:rsidDel="00000000" w:rsidP="00000000" w:rsidRDefault="00000000" w:rsidRPr="00000000" w14:paraId="00000003">
      <w:pPr>
        <w:pStyle w:val="Heading3"/>
        <w:spacing w:before="0" w:lineRule="auto"/>
        <w:rPr/>
      </w:pPr>
      <w:bookmarkStart w:colFirst="0" w:colLast="0" w:name="_8yt61v1z9uqq" w:id="2"/>
      <w:bookmarkEnd w:id="2"/>
      <w:r w:rsidDel="00000000" w:rsidR="00000000" w:rsidRPr="00000000">
        <w:rPr>
          <w:rtl w:val="0"/>
        </w:rPr>
        <w:t xml:space="preserve">Timeframe: 3-4 days / 50-minute sessions</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400"/>
        <w:gridCol w:w="5400"/>
        <w:tblGridChange w:id="0">
          <w:tblGrid>
            <w:gridCol w:w="5400"/>
            <w:gridCol w:w="54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hzdgfmfg91im" w:id="3"/>
            <w:bookmarkEnd w:id="3"/>
            <w:r w:rsidDel="00000000" w:rsidR="00000000" w:rsidRPr="00000000">
              <w:rPr>
                <w:rtl w:val="0"/>
              </w:rPr>
              <w:t xml:space="preserve">Podcast and Video Alignment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after="0" w:before="0" w:line="240" w:lineRule="auto"/>
              <w:rPr/>
            </w:pPr>
            <w:bookmarkStart w:colFirst="0" w:colLast="0" w:name="_49hf5239pzky" w:id="4"/>
            <w:bookmarkEnd w:id="4"/>
            <w:r w:rsidDel="00000000" w:rsidR="00000000" w:rsidRPr="00000000">
              <w:rPr>
                <w:i w:val="1"/>
                <w:rtl w:val="0"/>
              </w:rPr>
              <w:t xml:space="preserve">American Legacy</w:t>
            </w:r>
            <w:r w:rsidDel="00000000" w:rsidR="00000000" w:rsidRPr="00000000">
              <w:rPr>
                <w:rtl w:val="0"/>
              </w:rPr>
              <w:t xml:space="preserve"> Text &amp; Additional Texts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60-Second Civics Podcast:</w:t>
            </w:r>
          </w:p>
          <w:p w:rsidR="00000000" w:rsidDel="00000000" w:rsidP="00000000" w:rsidRDefault="00000000" w:rsidRPr="00000000" w14:paraId="0000000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7">
              <w:r w:rsidDel="00000000" w:rsidR="00000000" w:rsidRPr="00000000">
                <w:rPr>
                  <w:color w:val="004fa3"/>
                  <w:rtl w:val="0"/>
                </w:rPr>
                <w:t xml:space="preserve">The Seneca Falls Convention</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8">
              <w:r w:rsidDel="00000000" w:rsidR="00000000" w:rsidRPr="00000000">
                <w:rPr>
                  <w:color w:val="004fa3"/>
                  <w:rtl w:val="0"/>
                </w:rPr>
                <w:t xml:space="preserve">The Seneca Falls Declaration of Sentiments</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9">
              <w:r w:rsidDel="00000000" w:rsidR="00000000" w:rsidRPr="00000000">
                <w:rPr>
                  <w:color w:val="004fa3"/>
                  <w:rtl w:val="0"/>
                </w:rPr>
                <w:t xml:space="preserve">Minor v. Happersett</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0">
              <w:r w:rsidDel="00000000" w:rsidR="00000000" w:rsidRPr="00000000">
                <w:rPr>
                  <w:color w:val="004fa3"/>
                  <w:rtl w:val="0"/>
                </w:rPr>
                <w:t xml:space="preserve">The Abortion Debate and</w:t>
                <w:br w:type="textWrapping"/>
                <w:t xml:space="preserve">Fundamental Rights</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1">
              <w:r w:rsidDel="00000000" w:rsidR="00000000" w:rsidRPr="00000000">
                <w:rPr>
                  <w:color w:val="004fa3"/>
                  <w:rtl w:val="0"/>
                </w:rPr>
                <w:t xml:space="preserve">The Equal Rights Amendment</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Beyond the Legacy Video:</w:t>
            </w:r>
          </w:p>
          <w:p w:rsidR="00000000" w:rsidDel="00000000" w:rsidP="00000000" w:rsidRDefault="00000000" w:rsidRPr="00000000" w14:paraId="0000000F">
            <w:pPr>
              <w:widowControl w:val="0"/>
              <w:numPr>
                <w:ilvl w:val="0"/>
                <w:numId w:val="2"/>
              </w:numPr>
              <w:ind w:left="720" w:hanging="360"/>
            </w:pPr>
            <w:hyperlink r:id="rId12">
              <w:r w:rsidDel="00000000" w:rsidR="00000000" w:rsidRPr="00000000">
                <w:rPr>
                  <w:color w:val="004fa3"/>
                  <w:rtl w:val="0"/>
                </w:rPr>
                <w:t xml:space="preserve">Women’s Rights</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Scholar: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pPr>
            <w:r w:rsidDel="00000000" w:rsidR="00000000" w:rsidRPr="00000000">
              <w:rPr>
                <w:rtl w:val="0"/>
              </w:rPr>
              <w:t xml:space="preserve">Dr. Lisa Tetrault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t xml:space="preserve">Carnegie Mellon University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b w:val="1"/>
                <w:color w:val="231f20"/>
              </w:rPr>
            </w:pPr>
            <w:r w:rsidDel="00000000" w:rsidR="00000000" w:rsidRPr="00000000">
              <w:rPr>
                <w:b w:val="1"/>
                <w:color w:val="231f20"/>
                <w:rtl w:val="0"/>
              </w:rPr>
              <w:t xml:space="preserve">Primary Sources:</w:t>
            </w:r>
          </w:p>
          <w:p w:rsidR="00000000" w:rsidDel="00000000" w:rsidP="00000000" w:rsidRDefault="00000000" w:rsidRPr="00000000" w14:paraId="00000015">
            <w:pPr>
              <w:widowControl w:val="0"/>
              <w:numPr>
                <w:ilvl w:val="0"/>
                <w:numId w:val="4"/>
              </w:numPr>
              <w:ind w:left="720" w:hanging="360"/>
            </w:pPr>
            <w:hyperlink r:id="rId13">
              <w:r w:rsidDel="00000000" w:rsidR="00000000" w:rsidRPr="00000000">
                <w:rPr>
                  <w:color w:val="004fa3"/>
                  <w:rtl w:val="0"/>
                </w:rPr>
                <w:t xml:space="preserve">The Declaration of Sentiments</w:t>
              </w:r>
            </w:hyperlink>
            <w:r w:rsidDel="00000000" w:rsidR="00000000" w:rsidRPr="00000000">
              <w:rPr>
                <w:rtl w:val="0"/>
              </w:rPr>
            </w:r>
          </w:p>
          <w:p w:rsidR="00000000" w:rsidDel="00000000" w:rsidP="00000000" w:rsidRDefault="00000000" w:rsidRPr="00000000" w14:paraId="00000016">
            <w:pPr>
              <w:widowControl w:val="0"/>
              <w:numPr>
                <w:ilvl w:val="0"/>
                <w:numId w:val="4"/>
              </w:numPr>
              <w:ind w:left="720" w:hanging="360"/>
            </w:pPr>
            <w:hyperlink r:id="rId14">
              <w:r w:rsidDel="00000000" w:rsidR="00000000" w:rsidRPr="00000000">
                <w:rPr>
                  <w:color w:val="004fa3"/>
                  <w:rtl w:val="0"/>
                </w:rPr>
                <w:t xml:space="preserve">Equal Rights Amendment</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left="0" w:right="0" w:firstLine="0"/>
              <w:jc w:val="left"/>
              <w:rPr>
                <w:color w:val="231f20"/>
              </w:rPr>
            </w:pPr>
            <w:r w:rsidDel="00000000" w:rsidR="00000000" w:rsidRPr="00000000">
              <w:rPr>
                <w:b w:val="1"/>
                <w:color w:val="231f20"/>
                <w:rtl w:val="0"/>
              </w:rPr>
              <w:t xml:space="preserve">Instructional Materials:</w:t>
            </w: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5">
              <w:r w:rsidDel="00000000" w:rsidR="00000000" w:rsidRPr="00000000">
                <w:rPr>
                  <w:color w:val="004fa3"/>
                  <w:rtl w:val="0"/>
                </w:rPr>
                <w:t xml:space="preserve">Beyond the Legacy</w:t>
                <w:br w:type="textWrapping"/>
                <w:t xml:space="preserve">Video Guide: Women’s Rights</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6">
              <w:r w:rsidDel="00000000" w:rsidR="00000000" w:rsidRPr="00000000">
                <w:rPr>
                  <w:color w:val="004fa3"/>
                  <w:rtl w:val="0"/>
                </w:rPr>
                <w:t xml:space="preserve">Paideia Seminar Plan –</w:t>
                <w:br w:type="textWrapping"/>
                <w:t xml:space="preserve">The Declaration of Sentiments</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7">
              <w:r w:rsidDel="00000000" w:rsidR="00000000" w:rsidRPr="00000000">
                <w:rPr>
                  <w:color w:val="004fa3"/>
                  <w:rtl w:val="0"/>
                </w:rPr>
                <w:t xml:space="preserve">Structured Academic</w:t>
                <w:br w:type="textWrapping"/>
                <w:t xml:space="preserve">Controversy Plan –</w:t>
                <w:br w:type="textWrapping"/>
                <w:t xml:space="preserve">Women’s Rights</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pPr>
            <w:hyperlink r:id="rId18">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1D">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2880"/>
        <w:gridCol w:w="360"/>
        <w:gridCol w:w="7560"/>
        <w:tblGridChange w:id="0">
          <w:tblGrid>
            <w:gridCol w:w="2880"/>
            <w:gridCol w:w="360"/>
            <w:gridCol w:w="756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1E">
            <w:pPr>
              <w:pStyle w:val="Heading4"/>
              <w:widowControl w:val="0"/>
              <w:spacing w:before="0" w:line="240" w:lineRule="auto"/>
              <w:rPr/>
            </w:pPr>
            <w:bookmarkStart w:colFirst="0" w:colLast="0" w:name="_anyvo2f8rhh6" w:id="5"/>
            <w:bookmarkEnd w:id="5"/>
            <w:r w:rsidDel="00000000" w:rsidR="00000000" w:rsidRPr="00000000">
              <w:rPr>
                <w:rtl w:val="0"/>
              </w:rPr>
              <w:t xml:space="preserve">Inquiry Question</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F">
            <w:pPr>
              <w:pStyle w:val="Heading4"/>
              <w:widowControl w:val="0"/>
              <w:spacing w:before="0" w:line="240" w:lineRule="auto"/>
              <w:rPr/>
            </w:pPr>
            <w:bookmarkStart w:colFirst="0" w:colLast="0" w:name="_anyvo2f8rhh6" w:id="5"/>
            <w:bookmarkEnd w:id="5"/>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0">
            <w:pPr>
              <w:pStyle w:val="Heading4"/>
              <w:widowControl w:val="0"/>
              <w:spacing w:before="0" w:line="240" w:lineRule="auto"/>
              <w:rPr/>
            </w:pPr>
            <w:bookmarkStart w:colFirst="0" w:colLast="0" w:name="_ghlephs2aa2c" w:id="6"/>
            <w:bookmarkEnd w:id="6"/>
            <w:r w:rsidDel="00000000" w:rsidR="00000000" w:rsidRPr="00000000">
              <w:rPr>
                <w:rtl w:val="0"/>
              </w:rPr>
              <w:t xml:space="preserve">Objective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300" w:lineRule="auto"/>
              <w:rPr>
                <w:color w:val="231f20"/>
              </w:rPr>
            </w:pPr>
            <w:r w:rsidDel="00000000" w:rsidR="00000000" w:rsidRPr="00000000">
              <w:rPr>
                <w:rtl w:val="0"/>
              </w:rPr>
              <w:t xml:space="preserve">Can civil discourse lead to the recognition of rights?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30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pPr>
            <w:r w:rsidDel="00000000" w:rsidR="00000000" w:rsidRPr="00000000">
              <w:rPr>
                <w:rtl w:val="0"/>
              </w:rPr>
              <w:t xml:space="preserve">Participants will learn about the constitutional underpinnings of the fight for gender equality in America by viewing and discussing videos, podcasts, and other media, as well as closely reading the </w:t>
            </w:r>
            <w:hyperlink r:id="rId19">
              <w:r w:rsidDel="00000000" w:rsidR="00000000" w:rsidRPr="00000000">
                <w:rPr>
                  <w:color w:val="004fa3"/>
                  <w:rtl w:val="0"/>
                </w:rPr>
                <w:t xml:space="preserve">Declaration of Sentiments</w:t>
              </w:r>
            </w:hyperlink>
            <w:r w:rsidDel="00000000" w:rsidR="00000000" w:rsidRPr="00000000">
              <w:rPr>
                <w:rtl w:val="0"/>
              </w:rPr>
              <w:t xml:space="preserve">, to engage in a civil discourse model to expand their perspectives on the value, purpose, and lasting impact of women’s suffrage today.</w:t>
            </w:r>
          </w:p>
        </w:tc>
      </w:tr>
    </w:tbl>
    <w:p w:rsidR="00000000" w:rsidDel="00000000" w:rsidP="00000000" w:rsidRDefault="00000000" w:rsidRPr="00000000" w14:paraId="00000024">
      <w:pPr>
        <w:rPr/>
      </w:pPr>
      <w:r w:rsidDel="00000000" w:rsidR="00000000" w:rsidRPr="00000000">
        <w:rPr>
          <w:rtl w:val="0"/>
        </w:rPr>
      </w:r>
    </w:p>
    <w:tbl>
      <w:tblPr>
        <w:tblStyle w:val="Table3"/>
        <w:tblW w:w="10800.0" w:type="dxa"/>
        <w:jc w:val="left"/>
        <w:tblLayout w:type="fixed"/>
        <w:tblLook w:val="0600"/>
      </w:tblPr>
      <w:tblGrid>
        <w:gridCol w:w="3600"/>
        <w:gridCol w:w="3600"/>
        <w:gridCol w:w="3600"/>
        <w:tblGridChange w:id="0">
          <w:tblGrid>
            <w:gridCol w:w="3600"/>
            <w:gridCol w:w="3600"/>
            <w:gridCol w:w="36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25">
            <w:pPr>
              <w:pStyle w:val="Heading4"/>
              <w:widowControl w:val="0"/>
              <w:spacing w:before="0" w:line="240" w:lineRule="auto"/>
              <w:rPr/>
            </w:pPr>
            <w:bookmarkStart w:colFirst="0" w:colLast="0" w:name="_lm3uges1rw15" w:id="7"/>
            <w:bookmarkEnd w:id="7"/>
            <w:r w:rsidDel="00000000" w:rsidR="00000000" w:rsidRPr="00000000">
              <w:rPr>
                <w:rtl w:val="0"/>
              </w:rPr>
              <w:t xml:space="preserve">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26">
            <w:pPr>
              <w:pStyle w:val="Heading4"/>
              <w:widowControl w:val="0"/>
              <w:spacing w:before="0" w:line="240" w:lineRule="auto"/>
              <w:rPr/>
            </w:pPr>
            <w:bookmarkStart w:colFirst="0" w:colLast="0" w:name="_lm3uges1rw15" w:id="7"/>
            <w:bookmarkEnd w:id="7"/>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27">
            <w:pPr>
              <w:pStyle w:val="Heading4"/>
              <w:widowControl w:val="0"/>
              <w:spacing w:before="0" w:line="240" w:lineRule="auto"/>
              <w:rPr/>
            </w:pPr>
            <w:bookmarkStart w:colFirst="0" w:colLast="0" w:name="_lm3uges1rw15" w:id="7"/>
            <w:bookmarkEnd w:id="7"/>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1"/>
              </w:numPr>
              <w:ind w:left="720" w:hanging="360"/>
            </w:pPr>
            <w:r w:rsidDel="00000000" w:rsidR="00000000" w:rsidRPr="00000000">
              <w:rPr>
                <w:rtl w:val="0"/>
              </w:rPr>
              <w:t xml:space="preserve">"born equal"</w:t>
            </w:r>
          </w:p>
          <w:p w:rsidR="00000000" w:rsidDel="00000000" w:rsidP="00000000" w:rsidRDefault="00000000" w:rsidRPr="00000000" w14:paraId="00000029">
            <w:pPr>
              <w:widowControl w:val="0"/>
              <w:numPr>
                <w:ilvl w:val="0"/>
                <w:numId w:val="1"/>
              </w:numPr>
              <w:ind w:left="720" w:hanging="360"/>
            </w:pPr>
            <w:r w:rsidDel="00000000" w:rsidR="00000000" w:rsidRPr="00000000">
              <w:rPr>
                <w:rtl w:val="0"/>
              </w:rPr>
              <w:t xml:space="preserve">"equal station"</w:t>
            </w:r>
          </w:p>
          <w:p w:rsidR="00000000" w:rsidDel="00000000" w:rsidP="00000000" w:rsidRDefault="00000000" w:rsidRPr="00000000" w14:paraId="0000002A">
            <w:pPr>
              <w:widowControl w:val="0"/>
              <w:numPr>
                <w:ilvl w:val="0"/>
                <w:numId w:val="1"/>
              </w:numPr>
              <w:ind w:left="720" w:hanging="360"/>
            </w:pPr>
            <w:r w:rsidDel="00000000" w:rsidR="00000000" w:rsidRPr="00000000">
              <w:rPr>
                <w:rtl w:val="0"/>
              </w:rPr>
              <w:t xml:space="preserve">"great precept of nature"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numPr>
                <w:ilvl w:val="0"/>
                <w:numId w:val="1"/>
              </w:numPr>
              <w:ind w:left="720" w:hanging="360"/>
            </w:pPr>
            <w:hyperlink r:id="rId20">
              <w:r w:rsidDel="00000000" w:rsidR="00000000" w:rsidRPr="00000000">
                <w:rPr>
                  <w:color w:val="004fa3"/>
                  <w:rtl w:val="0"/>
                </w:rPr>
                <w:t xml:space="preserve">human rights</w:t>
              </w:r>
            </w:hyperlink>
            <w:r w:rsidDel="00000000" w:rsidR="00000000" w:rsidRPr="00000000">
              <w:rPr>
                <w:rtl w:val="0"/>
              </w:rPr>
            </w:r>
          </w:p>
          <w:p w:rsidR="00000000" w:rsidDel="00000000" w:rsidP="00000000" w:rsidRDefault="00000000" w:rsidRPr="00000000" w14:paraId="0000002C">
            <w:pPr>
              <w:widowControl w:val="0"/>
              <w:numPr>
                <w:ilvl w:val="0"/>
                <w:numId w:val="1"/>
              </w:numPr>
              <w:ind w:left="720" w:hanging="360"/>
            </w:pPr>
            <w:hyperlink r:id="rId21">
              <w:r w:rsidDel="00000000" w:rsidR="00000000" w:rsidRPr="00000000">
                <w:rPr>
                  <w:color w:val="004fa3"/>
                  <w:rtl w:val="0"/>
                </w:rPr>
                <w:t xml:space="preserve">"inalienable rights"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numPr>
                <w:ilvl w:val="0"/>
                <w:numId w:val="1"/>
              </w:numPr>
              <w:ind w:left="720" w:hanging="360"/>
            </w:pPr>
            <w:hyperlink r:id="rId22">
              <w:r w:rsidDel="00000000" w:rsidR="00000000" w:rsidRPr="00000000">
                <w:rPr>
                  <w:color w:val="004fa3"/>
                  <w:rtl w:val="0"/>
                </w:rPr>
                <w:t xml:space="preserve">laws of nature</w:t>
              </w:r>
            </w:hyperlink>
            <w:r w:rsidDel="00000000" w:rsidR="00000000" w:rsidRPr="00000000">
              <w:rPr>
                <w:rtl w:val="0"/>
              </w:rPr>
            </w:r>
          </w:p>
          <w:p w:rsidR="00000000" w:rsidDel="00000000" w:rsidP="00000000" w:rsidRDefault="00000000" w:rsidRPr="00000000" w14:paraId="0000002E">
            <w:pPr>
              <w:widowControl w:val="0"/>
              <w:numPr>
                <w:ilvl w:val="0"/>
                <w:numId w:val="1"/>
              </w:numPr>
              <w:ind w:left="720" w:hanging="360"/>
            </w:pPr>
            <w:r w:rsidDel="00000000" w:rsidR="00000000" w:rsidRPr="00000000">
              <w:rPr>
                <w:rtl w:val="0"/>
              </w:rPr>
              <w:t xml:space="preserve">"sacred right"</w:t>
            </w:r>
          </w:p>
        </w:tc>
      </w:tr>
    </w:tbl>
    <w:p w:rsidR="00000000" w:rsidDel="00000000" w:rsidP="00000000" w:rsidRDefault="00000000" w:rsidRPr="00000000" w14:paraId="0000002F">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iy860yx5xzlp" w:id="8"/>
            <w:bookmarkEnd w:id="8"/>
            <w:r w:rsidDel="00000000" w:rsidR="00000000" w:rsidRPr="00000000">
              <w:rPr>
                <w:rtl w:val="0"/>
              </w:rPr>
              <w:t xml:space="preserve">Facilitator Background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300" w:lineRule="auto"/>
              <w:rPr/>
            </w:pPr>
            <w:r w:rsidDel="00000000" w:rsidR="00000000" w:rsidRPr="00000000">
              <w:rPr>
                <w:rtl w:val="0"/>
              </w:rPr>
              <w:t xml:space="preserve">The Seneca Falls Convention was a historic event in the United States that took place in Seneca Falls, New York, from July 19 to July 20, 1848. It was the first women's rights convention held in the country and marked a crucial moment in the early women's suffrage movement. Two prominent activists, Elizabeth Cady Stanton and Lucretia Mott, primarily organized the convention along with several other dedicated reformers.</w:t>
            </w:r>
          </w:p>
          <w:p w:rsidR="00000000" w:rsidDel="00000000" w:rsidP="00000000" w:rsidRDefault="00000000" w:rsidRPr="00000000" w14:paraId="00000032">
            <w:pPr>
              <w:widowControl w:val="0"/>
              <w:spacing w:after="0" w:line="300" w:lineRule="auto"/>
              <w:rPr/>
            </w:pPr>
            <w:r w:rsidDel="00000000" w:rsidR="00000000" w:rsidRPr="00000000">
              <w:rPr>
                <w:rtl w:val="0"/>
              </w:rPr>
            </w:r>
          </w:p>
          <w:p w:rsidR="00000000" w:rsidDel="00000000" w:rsidP="00000000" w:rsidRDefault="00000000" w:rsidRPr="00000000" w14:paraId="00000033">
            <w:pPr>
              <w:widowControl w:val="0"/>
              <w:spacing w:after="0" w:line="300" w:lineRule="auto"/>
              <w:rPr/>
            </w:pPr>
            <w:r w:rsidDel="00000000" w:rsidR="00000000" w:rsidRPr="00000000">
              <w:rPr>
                <w:rtl w:val="0"/>
              </w:rPr>
              <w:t xml:space="preserve">The main purpose of the Seneca Falls Convention was to address the social, political, and economic inequalities faced by women during that time. The attendees, both men and women, gathered to discuss and advocate for women's rights and suffrage—the right to vote.</w:t>
            </w:r>
          </w:p>
          <w:p w:rsidR="00000000" w:rsidDel="00000000" w:rsidP="00000000" w:rsidRDefault="00000000" w:rsidRPr="00000000" w14:paraId="00000034">
            <w:pPr>
              <w:widowControl w:val="0"/>
              <w:spacing w:after="0" w:line="300" w:lineRule="auto"/>
              <w:rPr/>
            </w:pPr>
            <w:r w:rsidDel="00000000" w:rsidR="00000000" w:rsidRPr="00000000">
              <w:rPr>
                <w:rtl w:val="0"/>
              </w:rPr>
            </w:r>
          </w:p>
          <w:p w:rsidR="00000000" w:rsidDel="00000000" w:rsidP="00000000" w:rsidRDefault="00000000" w:rsidRPr="00000000" w14:paraId="00000035">
            <w:pPr>
              <w:widowControl w:val="0"/>
              <w:spacing w:after="0" w:line="300" w:lineRule="auto"/>
              <w:rPr/>
            </w:pPr>
            <w:r w:rsidDel="00000000" w:rsidR="00000000" w:rsidRPr="00000000">
              <w:rPr>
                <w:rtl w:val="0"/>
              </w:rPr>
              <w:t xml:space="preserve">One of the significant outcomes of the convention was the drafting of a seminal document known as t</w:t>
            </w:r>
            <w:hyperlink r:id="rId23">
              <w:r w:rsidDel="00000000" w:rsidR="00000000" w:rsidRPr="00000000">
                <w:rPr>
                  <w:color w:val="004fa3"/>
                  <w:rtl w:val="0"/>
                </w:rPr>
                <w:t xml:space="preserve">he Declaration of Sentiments</w:t>
              </w:r>
            </w:hyperlink>
            <w:r w:rsidDel="00000000" w:rsidR="00000000" w:rsidRPr="00000000">
              <w:rPr>
                <w:rtl w:val="0"/>
              </w:rPr>
              <w:t xml:space="preserve">. This document, which was closely modeled after the United States Declaration of Independence, outlined the grievances and demands of women, asserting that all men and women are created equal and that women should be granted the same rights and privileges as men.</w:t>
            </w:r>
          </w:p>
          <w:p w:rsidR="00000000" w:rsidDel="00000000" w:rsidP="00000000" w:rsidRDefault="00000000" w:rsidRPr="00000000" w14:paraId="00000036">
            <w:pPr>
              <w:widowControl w:val="0"/>
              <w:spacing w:after="0" w:line="300" w:lineRule="auto"/>
              <w:rPr/>
            </w:pPr>
            <w:r w:rsidDel="00000000" w:rsidR="00000000" w:rsidRPr="00000000">
              <w:rPr>
                <w:rtl w:val="0"/>
              </w:rPr>
            </w:r>
          </w:p>
          <w:p w:rsidR="00000000" w:rsidDel="00000000" w:rsidP="00000000" w:rsidRDefault="00000000" w:rsidRPr="00000000" w14:paraId="00000037">
            <w:pPr>
              <w:widowControl w:val="0"/>
              <w:spacing w:after="0" w:line="300" w:lineRule="auto"/>
              <w:rPr/>
            </w:pPr>
            <w:r w:rsidDel="00000000" w:rsidR="00000000" w:rsidRPr="00000000">
              <w:rPr>
                <w:rtl w:val="0"/>
              </w:rPr>
              <w:t xml:space="preserve">The Declaration of Sentiments specifically called for women's suffrage, equal educational opportunities, the right to own property, and an end to the societal restrictions that limited women to domestic roles. It also highlighted women's lack of legal rights, particularly in matters of marriage and divorce.</w:t>
            </w:r>
          </w:p>
          <w:p w:rsidR="00000000" w:rsidDel="00000000" w:rsidP="00000000" w:rsidRDefault="00000000" w:rsidRPr="00000000" w14:paraId="00000038">
            <w:pPr>
              <w:widowControl w:val="0"/>
              <w:spacing w:after="0" w:line="300" w:lineRule="auto"/>
              <w:rPr/>
            </w:pPr>
            <w:r w:rsidDel="00000000" w:rsidR="00000000" w:rsidRPr="00000000">
              <w:rPr>
                <w:rtl w:val="0"/>
              </w:rPr>
            </w:r>
          </w:p>
          <w:p w:rsidR="00000000" w:rsidDel="00000000" w:rsidP="00000000" w:rsidRDefault="00000000" w:rsidRPr="00000000" w14:paraId="00000039">
            <w:pPr>
              <w:widowControl w:val="0"/>
              <w:spacing w:after="0" w:line="300" w:lineRule="auto"/>
              <w:rPr/>
            </w:pPr>
            <w:r w:rsidDel="00000000" w:rsidR="00000000" w:rsidRPr="00000000">
              <w:rPr>
                <w:rtl w:val="0"/>
              </w:rPr>
              <w:t xml:space="preserve">The Seneca Falls Convention was not without controversy, as advocating for women's rights was considered radical and controversial at the time. Nevertheless, the event was a critical milestone in the women's suffrage movement, inspiring and laying the groundwork for future activism and advocacy for gender equality.</w:t>
            </w:r>
          </w:p>
          <w:p w:rsidR="00000000" w:rsidDel="00000000" w:rsidP="00000000" w:rsidRDefault="00000000" w:rsidRPr="00000000" w14:paraId="0000003A">
            <w:pPr>
              <w:widowControl w:val="0"/>
              <w:spacing w:after="0" w:line="300" w:lineRule="auto"/>
              <w:rPr/>
            </w:pPr>
            <w:r w:rsidDel="00000000" w:rsidR="00000000" w:rsidRPr="00000000">
              <w:rPr>
                <w:rtl w:val="0"/>
              </w:rPr>
            </w:r>
          </w:p>
          <w:p w:rsidR="00000000" w:rsidDel="00000000" w:rsidP="00000000" w:rsidRDefault="00000000" w:rsidRPr="00000000" w14:paraId="0000003B">
            <w:pPr>
              <w:widowControl w:val="0"/>
              <w:spacing w:after="0" w:line="300" w:lineRule="auto"/>
              <w:rPr/>
            </w:pPr>
            <w:r w:rsidDel="00000000" w:rsidR="00000000" w:rsidRPr="00000000">
              <w:rPr>
                <w:rtl w:val="0"/>
              </w:rPr>
              <w:t xml:space="preserve">The convention's impact extended beyond its immediate time frame, igniting a spark in the fight for women's rights and motivating many activists to join the cause. The efforts and determination of those who attended the Seneca Falls Convention paved the way for subsequent women's rights movements and played a vital role in eventually leading to the 19th Amendment to the </w:t>
            </w:r>
            <w:hyperlink r:id="rId24">
              <w:r w:rsidDel="00000000" w:rsidR="00000000" w:rsidRPr="00000000">
                <w:rPr>
                  <w:color w:val="004fa3"/>
                  <w:rtl w:val="0"/>
                </w:rPr>
                <w:t xml:space="preserve">U.S. Constitution</w:t>
              </w:r>
            </w:hyperlink>
            <w:r w:rsidDel="00000000" w:rsidR="00000000" w:rsidRPr="00000000">
              <w:rPr>
                <w:rtl w:val="0"/>
              </w:rPr>
              <w:t xml:space="preserve">, which granted women the right to vote in 1920.</w:t>
            </w:r>
          </w:p>
          <w:p w:rsidR="00000000" w:rsidDel="00000000" w:rsidP="00000000" w:rsidRDefault="00000000" w:rsidRPr="00000000" w14:paraId="0000003C">
            <w:pPr>
              <w:widowControl w:val="0"/>
              <w:spacing w:after="0" w:line="300" w:lineRule="auto"/>
              <w:rPr/>
            </w:pPr>
            <w:r w:rsidDel="00000000" w:rsidR="00000000" w:rsidRPr="00000000">
              <w:rPr>
                <w:rtl w:val="0"/>
              </w:rPr>
            </w:r>
          </w:p>
          <w:p w:rsidR="00000000" w:rsidDel="00000000" w:rsidP="00000000" w:rsidRDefault="00000000" w:rsidRPr="00000000" w14:paraId="0000003D">
            <w:pPr>
              <w:widowControl w:val="0"/>
              <w:spacing w:after="0" w:line="300" w:lineRule="auto"/>
              <w:rPr>
                <w:highlight w:val="yellow"/>
              </w:rPr>
            </w:pPr>
            <w:r w:rsidDel="00000000" w:rsidR="00000000" w:rsidRPr="00000000">
              <w:rPr>
                <w:b w:val="1"/>
                <w:rtl w:val="0"/>
              </w:rPr>
              <w:t xml:space="preserve">Additional Resources</w:t>
            </w:r>
            <w:r w:rsidDel="00000000" w:rsidR="00000000" w:rsidRPr="00000000">
              <w:rPr>
                <w:rtl w:val="0"/>
              </w:rPr>
              <w:t xml:space="preserve">: </w:t>
            </w:r>
            <w:hyperlink r:id="rId25">
              <w:r w:rsidDel="00000000" w:rsidR="00000000" w:rsidRPr="00000000">
                <w:rPr>
                  <w:color w:val="004fa3"/>
                  <w:rtl w:val="0"/>
                </w:rPr>
                <w:t xml:space="preserve">The Declaration of Sentiments (Full Text)</w:t>
              </w:r>
            </w:hyperlink>
            <w:r w:rsidDel="00000000" w:rsidR="00000000" w:rsidRPr="00000000">
              <w:rPr>
                <w:rtl w:val="0"/>
              </w:rPr>
            </w:r>
          </w:p>
        </w:tc>
      </w:tr>
    </w:tbl>
    <w:p w:rsidR="00000000" w:rsidDel="00000000" w:rsidP="00000000" w:rsidRDefault="00000000" w:rsidRPr="00000000" w14:paraId="0000003E">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F">
            <w:pPr>
              <w:pStyle w:val="Heading4"/>
              <w:widowControl w:val="0"/>
              <w:spacing w:before="0" w:line="240" w:lineRule="auto"/>
              <w:rPr/>
            </w:pPr>
            <w:bookmarkStart w:colFirst="0" w:colLast="0" w:name="_i5w4eoqymj67" w:id="9"/>
            <w:bookmarkEnd w:id="9"/>
            <w:r w:rsidDel="00000000" w:rsidR="00000000" w:rsidRPr="00000000">
              <w:rPr>
                <w:rtl w:val="0"/>
              </w:rPr>
              <w:t xml:space="preserve">Assess &amp; Authentically Engage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line="300" w:lineRule="auto"/>
              <w:rPr>
                <w:color w:val="231f20"/>
              </w:rPr>
            </w:pPr>
            <w:r w:rsidDel="00000000" w:rsidR="00000000" w:rsidRPr="00000000">
              <w:rPr>
                <w:rtl w:val="0"/>
              </w:rPr>
              <w:t xml:space="preserve">Students demonstrate their understanding of women’s suffrage and gender inequality by making real-world connections between the context surrounding the </w:t>
            </w:r>
            <w:hyperlink r:id="rId26">
              <w:r w:rsidDel="00000000" w:rsidR="00000000" w:rsidRPr="00000000">
                <w:rPr>
                  <w:color w:val="004fa3"/>
                  <w:rtl w:val="0"/>
                </w:rPr>
                <w:t xml:space="preserve">Declaration of Sentiments</w:t>
              </w:r>
            </w:hyperlink>
            <w:r w:rsidDel="00000000" w:rsidR="00000000" w:rsidRPr="00000000">
              <w:rPr>
                <w:rtl w:val="0"/>
              </w:rPr>
              <w:t xml:space="preserve"> and that of the present-day United States and the lasting impact of women’s suffrage today.</w:t>
            </w:r>
            <w:r w:rsidDel="00000000" w:rsidR="00000000" w:rsidRPr="00000000">
              <w:rPr>
                <w:rtl w:val="0"/>
              </w:rPr>
            </w:r>
          </w:p>
        </w:tc>
      </w:tr>
    </w:tbl>
    <w:p w:rsidR="00000000" w:rsidDel="00000000" w:rsidP="00000000" w:rsidRDefault="00000000" w:rsidRPr="00000000" w14:paraId="00000041">
      <w:pPr>
        <w:spacing w:after="0" w:lineRule="auto"/>
        <w:rPr>
          <w:color w:val="231f20"/>
        </w:rPr>
      </w:pPr>
      <w:r w:rsidDel="00000000" w:rsidR="00000000" w:rsidRPr="00000000">
        <w:rPr>
          <w:rtl w:val="0"/>
        </w:rPr>
      </w:r>
    </w:p>
    <w:sectPr>
      <w:headerReference r:id="rId27" w:type="default"/>
      <w:footerReference r:id="rId28"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Style w:val="Heading5"/>
      <w:rPr/>
    </w:pPr>
    <w:bookmarkStart w:colFirst="0" w:colLast="0" w:name="_11dswytin9xs" w:id="10"/>
    <w:bookmarkEnd w:id="10"/>
    <w:r w:rsidDel="00000000" w:rsidR="00000000" w:rsidRPr="00000000">
      <w:rPr>
        <w:rtl w:val="0"/>
      </w:rPr>
      <w:t xml:space="preserve">Civil Discourse: Women’s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human%20rights" TargetMode="External"/><Relationship Id="rId22" Type="http://schemas.openxmlformats.org/officeDocument/2006/relationships/hyperlink" Target="https://www.merriam-webster.com/dictionary/law%20of%20nature" TargetMode="External"/><Relationship Id="rId21" Type="http://schemas.openxmlformats.org/officeDocument/2006/relationships/hyperlink" Target="https://www.merriam-webster.com/dictionary/inalienable" TargetMode="External"/><Relationship Id="rId24" Type="http://schemas.openxmlformats.org/officeDocument/2006/relationships/hyperlink" Target="https://civiced.org/pdfs/civil_discourse/principles_of_constitution/HistoricalDocument_CenterForCivicEducation_ConstitutionOfTheUnitedStates.pdf" TargetMode="External"/><Relationship Id="rId23" Type="http://schemas.openxmlformats.org/officeDocument/2006/relationships/hyperlink" Target="https://drive.google.com/open?id=1U9CEhWHqHW8dVWs525se-i-geZxOB1gF&amp;usp=drive_f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womens-rights/podcasts-and-videos/part-3" TargetMode="External"/><Relationship Id="rId26" Type="http://schemas.openxmlformats.org/officeDocument/2006/relationships/hyperlink" Target="https://drive.google.com/open?id=1U9CEhWHqHW8dVWs525se-i-geZxOB1gF&amp;usp=drive_fs" TargetMode="External"/><Relationship Id="rId25" Type="http://schemas.openxmlformats.org/officeDocument/2006/relationships/hyperlink" Target="https://drive.google.com/open?id=1U9CEhWHqHW8dVWs525se-i-geZxOB1gF&amp;usp=drive_fs" TargetMode="External"/><Relationship Id="rId28" Type="http://schemas.openxmlformats.org/officeDocument/2006/relationships/footer" Target="footer1.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s://civiced.org/civil-discourse/module-womens-rights/podcasts-and-videos/part-1" TargetMode="External"/><Relationship Id="rId8" Type="http://schemas.openxmlformats.org/officeDocument/2006/relationships/hyperlink" Target="https://civiced.org/civil-discourse/module-womens-rights/podcasts-and-videos/part-2" TargetMode="External"/><Relationship Id="rId11" Type="http://schemas.openxmlformats.org/officeDocument/2006/relationships/hyperlink" Target="https://civiced.org/civil-discourse/module-womens-rights/podcasts-and-videos/part-5" TargetMode="External"/><Relationship Id="rId10" Type="http://schemas.openxmlformats.org/officeDocument/2006/relationships/hyperlink" Target="https://civiced.org/civil-discourse/module-womens-rights/podcasts-and-videos/part-4" TargetMode="External"/><Relationship Id="rId13" Type="http://schemas.openxmlformats.org/officeDocument/2006/relationships/hyperlink" Target="https://drive.google.com/open?id=1U9CEhWHqHW8dVWs525se-i-geZxOB1gF&amp;usp=drive_fs" TargetMode="External"/><Relationship Id="rId12" Type="http://schemas.openxmlformats.org/officeDocument/2006/relationships/hyperlink" Target="https://civiced.org/civil-discourse/module-womens-rights/podcasts-and-videos/part-6" TargetMode="External"/><Relationship Id="rId15" Type="http://schemas.openxmlformats.org/officeDocument/2006/relationships/hyperlink" Target="https://drive.google.com/file/d/1sCMe2mMTB7EczSyuohV2_7VfHXQ69SUu/view?usp=drive_link" TargetMode="External"/><Relationship Id="rId14" Type="http://schemas.openxmlformats.org/officeDocument/2006/relationships/hyperlink" Target="https://drive.google.com/open?id=1V-0-fvndFRjZkPEjqKRoeLDEGXVWboKv&amp;usp=drive_fs" TargetMode="External"/><Relationship Id="rId17" Type="http://schemas.openxmlformats.org/officeDocument/2006/relationships/hyperlink" Target="https://drive.google.com/file/d/1ZNcxoRbwWKAiKGlURoKjWg-DLyFEqEi9/view?usp=drive_link" TargetMode="External"/><Relationship Id="rId16" Type="http://schemas.openxmlformats.org/officeDocument/2006/relationships/hyperlink" Target="https://drive.google.com/file/d/1SHc7mRKgPW_IwHL260wtbsyoP7hvbSXz/view?usp=drive_link" TargetMode="External"/><Relationship Id="rId19" Type="http://schemas.openxmlformats.org/officeDocument/2006/relationships/hyperlink" Target="https://drive.google.com/open?id=1U9CEhWHqHW8dVWs525se-i-geZxOB1gF&amp;usp=drive_fs" TargetMode="External"/><Relationship Id="rId18" Type="http://schemas.openxmlformats.org/officeDocument/2006/relationships/hyperlink" Target="https://drive.google.com/file/d/1SutjrojTF-x-TfvNYwXvJRcCDQm9hW1v/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