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Heading4"/>
        <w:spacing w:before="0" w:lineRule="auto"/>
        <w:jc w:val="center"/>
        <w:rPr>
          <w:sz w:val="2"/>
          <w:szCs w:val="2"/>
        </w:rPr>
      </w:pPr>
      <w:bookmarkStart w:colFirst="0" w:colLast="0" w:name="_m47k2eavdicl" w:id="0"/>
      <w:bookmarkEnd w:id="0"/>
      <w:r w:rsidDel="00000000" w:rsidR="00000000" w:rsidRPr="00000000">
        <w:rPr>
          <w:rtl w:val="0"/>
        </w:rPr>
      </w:r>
    </w:p>
    <w:tbl>
      <w:tblPr>
        <w:tblStyle w:val="Table1"/>
        <w:tblpPr w:leftFromText="31680" w:rightFromText="180" w:topFromText="180" w:bottomFromText="180" w:vertAnchor="page" w:horzAnchor="page" w:tblpX="1468.8" w:tblpY="1800"/>
        <w:tblW w:w="9000.0" w:type="dxa"/>
        <w:jc w:val="left"/>
        <w:tblLayout w:type="fixed"/>
        <w:tblLook w:val="0600"/>
      </w:tblPr>
      <w:tblGrid>
        <w:gridCol w:w="3384.0000000000005"/>
        <w:gridCol w:w="2232"/>
        <w:gridCol w:w="3384.0000000000005"/>
        <w:tblGridChange w:id="0">
          <w:tblGrid>
            <w:gridCol w:w="3384.0000000000005"/>
            <w:gridCol w:w="2232"/>
            <w:gridCol w:w="3384.000000000000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2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Job opportunities</w:t>
            </w:r>
          </w:p>
        </w:tc>
        <w:tc>
          <w:tcPr/>
          <w:p w:rsidR="00000000" w:rsidDel="00000000" w:rsidP="00000000" w:rsidRDefault="00000000" w:rsidRPr="00000000" w14:paraId="00000003">
            <w:pPr>
              <w:widowControl w:val="0"/>
              <w:spacing w:after="0" w:before="11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4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Voter registration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5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6">
            <w:pPr>
              <w:widowControl w:val="0"/>
              <w:spacing w:after="0" w:before="11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Fair housing</w:t>
            </w:r>
          </w:p>
        </w:tc>
        <w:tc>
          <w:tcPr/>
          <w:p w:rsidR="00000000" w:rsidDel="00000000" w:rsidP="00000000" w:rsidRDefault="00000000" w:rsidRPr="00000000" w14:paraId="00000007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8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Faith</w:t>
            </w:r>
          </w:p>
        </w:tc>
        <w:tc>
          <w:tcPr/>
          <w:p w:rsidR="00000000" w:rsidDel="00000000" w:rsidP="00000000" w:rsidRDefault="00000000" w:rsidRPr="00000000" w14:paraId="00000009">
            <w:pPr>
              <w:widowControl w:val="0"/>
              <w:spacing w:after="0" w:before="11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A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Role model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B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C">
            <w:pPr>
              <w:widowControl w:val="0"/>
              <w:spacing w:after="0" w:before="11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Equality</w:t>
            </w:r>
          </w:p>
        </w:tc>
        <w:tc>
          <w:tcPr/>
          <w:p w:rsidR="00000000" w:rsidDel="00000000" w:rsidP="00000000" w:rsidRDefault="00000000" w:rsidRPr="00000000" w14:paraId="0000000D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E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Equal opportunities</w:t>
            </w:r>
          </w:p>
        </w:tc>
        <w:tc>
          <w:tcPr/>
          <w:p w:rsidR="00000000" w:rsidDel="00000000" w:rsidP="00000000" w:rsidRDefault="00000000" w:rsidRPr="00000000" w14:paraId="0000000F">
            <w:pPr>
              <w:widowControl w:val="0"/>
              <w:spacing w:after="0" w:before="11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0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Responsibility to vote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1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2">
            <w:pPr>
              <w:widowControl w:val="0"/>
              <w:spacing w:after="0" w:before="11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Civic duty</w:t>
            </w:r>
          </w:p>
        </w:tc>
        <w:tc>
          <w:tcPr/>
          <w:p w:rsidR="00000000" w:rsidDel="00000000" w:rsidP="00000000" w:rsidRDefault="00000000" w:rsidRPr="00000000" w14:paraId="00000013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4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Serve the greater good</w:t>
            </w:r>
          </w:p>
        </w:tc>
        <w:tc>
          <w:tcPr/>
          <w:p w:rsidR="00000000" w:rsidDel="00000000" w:rsidP="00000000" w:rsidRDefault="00000000" w:rsidRPr="00000000" w14:paraId="00000015">
            <w:pPr>
              <w:widowControl w:val="0"/>
              <w:spacing w:after="0" w:before="11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6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7">
      <w:pPr>
        <w:pStyle w:val="Heading4"/>
        <w:spacing w:before="0" w:lineRule="auto"/>
        <w:rPr/>
      </w:pPr>
      <w:bookmarkStart w:colFirst="0" w:colLast="0" w:name="_v39et3gju8ct" w:id="1"/>
      <w:bookmarkEnd w:id="1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Style w:val="Heading4"/>
        <w:spacing w:before="0" w:lineRule="auto"/>
        <w:jc w:val="center"/>
        <w:rPr>
          <w:sz w:val="2"/>
          <w:szCs w:val="2"/>
        </w:rPr>
      </w:pPr>
      <w:bookmarkStart w:colFirst="0" w:colLast="0" w:name="_iiae4srqscku" w:id="2"/>
      <w:bookmarkEnd w:id="2"/>
      <w:r w:rsidDel="00000000" w:rsidR="00000000" w:rsidRPr="00000000">
        <w:rPr>
          <w:rtl w:val="0"/>
        </w:rPr>
      </w:r>
    </w:p>
    <w:tbl>
      <w:tblPr>
        <w:tblStyle w:val="Table2"/>
        <w:tblpPr w:leftFromText="31680" w:rightFromText="180" w:topFromText="180" w:bottomFromText="180" w:vertAnchor="page" w:horzAnchor="page" w:tblpX="1468.8" w:tblpY="1800"/>
        <w:tblW w:w="9000.0" w:type="dxa"/>
        <w:jc w:val="left"/>
        <w:tblLayout w:type="fixed"/>
        <w:tblLook w:val="0600"/>
      </w:tblPr>
      <w:tblGrid>
        <w:gridCol w:w="3384.0000000000005"/>
        <w:gridCol w:w="2232"/>
        <w:gridCol w:w="3384.0000000000005"/>
        <w:tblGridChange w:id="0">
          <w:tblGrid>
            <w:gridCol w:w="3384.0000000000005"/>
            <w:gridCol w:w="2232"/>
            <w:gridCol w:w="3384.000000000000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9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Freedom of speech</w:t>
            </w:r>
          </w:p>
        </w:tc>
        <w:tc>
          <w:tcPr/>
          <w:p w:rsidR="00000000" w:rsidDel="00000000" w:rsidP="00000000" w:rsidRDefault="00000000" w:rsidRPr="00000000" w14:paraId="0000001A">
            <w:pPr>
              <w:widowControl w:val="0"/>
              <w:spacing w:after="0" w:before="11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B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Try my best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C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D">
            <w:pPr>
              <w:widowControl w:val="0"/>
              <w:spacing w:after="0" w:before="5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Freedom to redress the government (protest, march, demonstrate)</w:t>
            </w:r>
          </w:p>
        </w:tc>
        <w:tc>
          <w:tcPr/>
          <w:p w:rsidR="00000000" w:rsidDel="00000000" w:rsidP="00000000" w:rsidRDefault="00000000" w:rsidRPr="00000000" w14:paraId="0000001E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F">
            <w:pPr>
              <w:widowControl w:val="0"/>
              <w:spacing w:after="0" w:before="5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Freedom of assembly</w:t>
            </w:r>
          </w:p>
        </w:tc>
        <w:tc>
          <w:tcPr/>
          <w:p w:rsidR="00000000" w:rsidDel="00000000" w:rsidP="00000000" w:rsidRDefault="00000000" w:rsidRPr="00000000" w14:paraId="00000020">
            <w:pPr>
              <w:widowControl w:val="0"/>
              <w:spacing w:after="0" w:before="11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1">
            <w:pPr>
              <w:widowControl w:val="0"/>
              <w:spacing w:after="0" w:before="3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Act in peaceful and nonviolent ways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2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3">
            <w:pPr>
              <w:widowControl w:val="0"/>
              <w:spacing w:after="0" w:before="5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Be a leader</w:t>
            </w:r>
          </w:p>
        </w:tc>
        <w:tc>
          <w:tcPr/>
          <w:p w:rsidR="00000000" w:rsidDel="00000000" w:rsidP="00000000" w:rsidRDefault="00000000" w:rsidRPr="00000000" w14:paraId="00000024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5">
            <w:pPr>
              <w:widowControl w:val="0"/>
              <w:spacing w:after="0" w:before="5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Never give up</w:t>
            </w:r>
          </w:p>
        </w:tc>
        <w:tc>
          <w:tcPr/>
          <w:p w:rsidR="00000000" w:rsidDel="00000000" w:rsidP="00000000" w:rsidRDefault="00000000" w:rsidRPr="00000000" w14:paraId="00000026">
            <w:pPr>
              <w:widowControl w:val="0"/>
              <w:spacing w:after="0" w:before="5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7">
            <w:pPr>
              <w:widowControl w:val="0"/>
              <w:spacing w:after="0" w:before="3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Fight for the things</w:t>
              <w:br w:type="textWrapping"/>
              <w:t xml:space="preserve">you care about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8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9">
            <w:pPr>
              <w:widowControl w:val="0"/>
              <w:spacing w:after="0" w:before="11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Work together</w:t>
            </w:r>
          </w:p>
        </w:tc>
        <w:tc>
          <w:tcPr/>
          <w:p w:rsidR="00000000" w:rsidDel="00000000" w:rsidP="00000000" w:rsidRDefault="00000000" w:rsidRPr="00000000" w14:paraId="0000002A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B">
            <w:pPr>
              <w:widowControl w:val="0"/>
              <w:spacing w:after="0" w:before="11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color w:val="231f20"/>
                <w:rtl w:val="0"/>
              </w:rPr>
              <w:t xml:space="preserve">Be resilient</w:t>
            </w:r>
          </w:p>
        </w:tc>
        <w:tc>
          <w:tcPr/>
          <w:p w:rsidR="00000000" w:rsidDel="00000000" w:rsidP="00000000" w:rsidRDefault="00000000" w:rsidRPr="00000000" w14:paraId="0000002C">
            <w:pPr>
              <w:widowControl w:val="0"/>
              <w:spacing w:after="0" w:before="11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D">
            <w:pPr>
              <w:widowControl w:val="0"/>
              <w:spacing w:after="0" w:before="1000" w:line="240" w:lineRule="auto"/>
              <w:jc w:val="center"/>
              <w:rPr>
                <w:rFonts w:ascii="IBM Plex Sans" w:cs="IBM Plex Sans" w:eastAsia="IBM Plex Sans" w:hAnsi="IBM Plex Sans"/>
                <w:b w:val="1"/>
                <w:color w:val="231f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E">
      <w:pPr>
        <w:pStyle w:val="Heading4"/>
        <w:spacing w:before="0" w:lineRule="auto"/>
        <w:rPr/>
      </w:pPr>
      <w:bookmarkStart w:colFirst="0" w:colLast="0" w:name="_z72273ovzdg7" w:id="3"/>
      <w:bookmarkEnd w:id="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Style w:val="Heading4"/>
        <w:spacing w:before="0" w:lineRule="auto"/>
        <w:rPr/>
      </w:pPr>
      <w:bookmarkStart w:colFirst="0" w:colLast="0" w:name="_yyl8m04whx7k" w:id="4"/>
      <w:bookmarkEnd w:id="4"/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5840" w:w="12240" w:orient="portrait"/>
      <w:pgMar w:bottom="1627.1999999999998" w:top="1324.8000000000002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IBM Plex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IBM Plex Sans Ligh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ewsreader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1">
    <w:pPr>
      <w:pStyle w:val="Heading6"/>
      <w:rPr>
        <w:b w:val="0"/>
      </w:rPr>
    </w:pPr>
    <w:bookmarkStart w:colFirst="0" w:colLast="0" w:name="_wz4xqz6ubvoc" w:id="6"/>
    <w:bookmarkEnd w:id="6"/>
    <w:r w:rsidDel="00000000" w:rsidR="00000000" w:rsidRPr="00000000">
      <w:rPr>
        <w:rtl w:val="0"/>
      </w:rPr>
      <w:t xml:space="preserve">Page </w:t>
    </w: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  <w:t xml:space="preserve"> </w:t>
    </w:r>
    <w:r w:rsidDel="00000000" w:rsidR="00000000" w:rsidRPr="00000000">
      <w:rPr>
        <w:b w:val="0"/>
        <w:rtl w:val="0"/>
      </w:rPr>
      <w:t xml:space="preserve">of </w:t>
    </w:r>
    <w:r w:rsidDel="00000000" w:rsidR="00000000" w:rsidRPr="00000000">
      <w:rPr>
        <w:b w:val="0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</wp:posOffset>
          </wp:positionH>
          <wp:positionV relativeFrom="paragraph">
            <wp:posOffset>-59943</wp:posOffset>
          </wp:positionV>
          <wp:extent cx="6858000" cy="38100"/>
          <wp:effectExtent b="0" l="0" r="0" t="0"/>
          <wp:wrapNone/>
          <wp:docPr id="3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858000" cy="3810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0">
    <w:pPr>
      <w:pStyle w:val="Heading5"/>
      <w:rPr/>
    </w:pPr>
    <w:bookmarkStart w:colFirst="0" w:colLast="0" w:name="_11dswytin9xs" w:id="5"/>
    <w:bookmarkEnd w:id="5"/>
    <w:r w:rsidDel="00000000" w:rsidR="00000000" w:rsidRPr="00000000">
      <w:rPr>
        <w:rtl w:val="0"/>
      </w:rPr>
      <w:t xml:space="preserve">Making MLK Connections</w:t>
    </w:r>
    <w:r w:rsidDel="00000000" w:rsidR="00000000" w:rsidRPr="00000000">
      <w:rPr/>
      <w:drawing>
        <wp:anchor allowOverlap="1" behindDoc="1" distB="114300" distT="114300" distL="114300" distR="114300" hidden="0" layoutInCell="1" locked="0" relativeHeight="0" simplePos="0">
          <wp:simplePos x="0" y="0"/>
          <wp:positionH relativeFrom="page">
            <wp:posOffset>804672</wp:posOffset>
          </wp:positionH>
          <wp:positionV relativeFrom="page">
            <wp:posOffset>960120</wp:posOffset>
          </wp:positionV>
          <wp:extent cx="6176531" cy="8229600"/>
          <wp:effectExtent b="0" l="0" r="0" t="0"/>
          <wp:wrapNone/>
          <wp:docPr id="1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176531" cy="822960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/>
      <w:drawing>
        <wp:anchor allowOverlap="1" behindDoc="0" distB="0" distT="0" distL="0" distR="0" hidden="0" layoutInCell="1" locked="0" relativeHeight="0" simplePos="0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2052275" cy="841248"/>
          <wp:effectExtent b="0" l="0" r="0" t="0"/>
          <wp:wrapSquare wrapText="bothSides" distB="0" distT="0" distL="0" distR="0"/>
          <wp:docPr id="2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052275" cy="84124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Newsreader" w:cs="Newsreader" w:eastAsia="Newsreader" w:hAnsi="Newsreader"/>
        <w:color w:val="393435"/>
        <w:sz w:val="24"/>
        <w:szCs w:val="24"/>
        <w:lang w:val="en"/>
      </w:rPr>
    </w:rPrDefault>
    <w:pPrDefault>
      <w:pPr>
        <w:spacing w:after="300" w:line="30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600" w:line="192.00000000000003" w:lineRule="auto"/>
    </w:pPr>
    <w:rPr>
      <w:rFonts w:ascii="IBM Plex Sans" w:cs="IBM Plex Sans" w:eastAsia="IBM Plex Sans" w:hAnsi="IBM Plex Sans"/>
      <w:b w:val="1"/>
      <w:color w:val="231f20"/>
      <w:sz w:val="120"/>
      <w:szCs w:val="120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300" w:line="192.00000000000003" w:lineRule="auto"/>
    </w:pPr>
    <w:rPr>
      <w:rFonts w:ascii="IBM Plex Sans" w:cs="IBM Plex Sans" w:eastAsia="IBM Plex Sans" w:hAnsi="IBM Plex Sans"/>
      <w:b w:val="1"/>
      <w:color w:val="231f20"/>
      <w:sz w:val="64"/>
      <w:szCs w:val="64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300" w:line="192.00000000000003" w:lineRule="auto"/>
    </w:pPr>
    <w:rPr>
      <w:rFonts w:ascii="IBM Plex Sans" w:cs="IBM Plex Sans" w:eastAsia="IBM Plex Sans" w:hAnsi="IBM Plex Sans"/>
      <w:b w:val="1"/>
      <w:color w:val="231f20"/>
      <w:sz w:val="30"/>
      <w:szCs w:val="30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300" w:line="192.00000000000003" w:lineRule="auto"/>
    </w:pPr>
    <w:rPr>
      <w:rFonts w:ascii="IBM Plex Sans" w:cs="IBM Plex Sans" w:eastAsia="IBM Plex Sans" w:hAnsi="IBM Plex Sans"/>
      <w:b w:val="1"/>
      <w:color w:val="231f20"/>
    </w:rPr>
  </w:style>
  <w:style w:type="paragraph" w:styleId="Heading5">
    <w:name w:val="heading 5"/>
    <w:basedOn w:val="Normal"/>
    <w:next w:val="Normal"/>
    <w:pPr>
      <w:keepNext w:val="1"/>
      <w:keepLines w:val="1"/>
      <w:spacing w:after="600" w:line="192.00000000000003" w:lineRule="auto"/>
      <w:ind w:left="-720" w:firstLine="0"/>
      <w:jc w:val="right"/>
    </w:pPr>
    <w:rPr>
      <w:rFonts w:ascii="IBM Plex Sans" w:cs="IBM Plex Sans" w:eastAsia="IBM Plex Sans" w:hAnsi="IBM Plex Sans"/>
      <w:color w:val="504b4b"/>
      <w:sz w:val="20"/>
      <w:szCs w:val="20"/>
    </w:rPr>
  </w:style>
  <w:style w:type="paragraph" w:styleId="Heading6">
    <w:name w:val="heading 6"/>
    <w:basedOn w:val="Normal"/>
    <w:next w:val="Normal"/>
    <w:pPr>
      <w:keepNext w:val="1"/>
      <w:keepLines w:val="1"/>
      <w:spacing w:after="0" w:line="192.00000000000003" w:lineRule="auto"/>
      <w:ind w:left="-720" w:firstLine="0"/>
      <w:jc w:val="right"/>
    </w:pPr>
    <w:rPr>
      <w:rFonts w:ascii="IBM Plex Sans" w:cs="IBM Plex Sans" w:eastAsia="IBM Plex Sans" w:hAnsi="IBM Plex Sans"/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0" w:line="180" w:lineRule="auto"/>
    </w:pPr>
    <w:rPr>
      <w:rFonts w:ascii="IBM Plex Sans" w:cs="IBM Plex Sans" w:eastAsia="IBM Plex Sans" w:hAnsi="IBM Plex Sans"/>
      <w:b w:val="1"/>
      <w:color w:val="231f20"/>
      <w:sz w:val="220"/>
      <w:szCs w:val="220"/>
    </w:rPr>
  </w:style>
  <w:style w:type="paragraph" w:styleId="Subtitle">
    <w:name w:val="Subtitle"/>
    <w:basedOn w:val="Normal"/>
    <w:next w:val="Normal"/>
    <w:pPr>
      <w:keepNext w:val="1"/>
      <w:keepLines w:val="1"/>
      <w:spacing w:after="0" w:line="180" w:lineRule="auto"/>
    </w:pPr>
    <w:rPr>
      <w:rFonts w:ascii="IBM Plex Sans Light" w:cs="IBM Plex Sans Light" w:eastAsia="IBM Plex Sans Light" w:hAnsi="IBM Plex Sans Light"/>
      <w:color w:val="231f20"/>
      <w:sz w:val="120"/>
      <w:szCs w:val="12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BMPlexSans-regular.ttf"/><Relationship Id="rId2" Type="http://schemas.openxmlformats.org/officeDocument/2006/relationships/font" Target="fonts/IBMPlexSans-bold.ttf"/><Relationship Id="rId3" Type="http://schemas.openxmlformats.org/officeDocument/2006/relationships/font" Target="fonts/IBMPlexSans-italic.ttf"/><Relationship Id="rId4" Type="http://schemas.openxmlformats.org/officeDocument/2006/relationships/font" Target="fonts/IBMPlexSans-boldItalic.ttf"/><Relationship Id="rId11" Type="http://schemas.openxmlformats.org/officeDocument/2006/relationships/font" Target="fonts/Newsreader-italic.ttf"/><Relationship Id="rId10" Type="http://schemas.openxmlformats.org/officeDocument/2006/relationships/font" Target="fonts/Newsreader-bold.ttf"/><Relationship Id="rId12" Type="http://schemas.openxmlformats.org/officeDocument/2006/relationships/font" Target="fonts/Newsreader-boldItalic.ttf"/><Relationship Id="rId9" Type="http://schemas.openxmlformats.org/officeDocument/2006/relationships/font" Target="fonts/Newsreader-regular.ttf"/><Relationship Id="rId5" Type="http://schemas.openxmlformats.org/officeDocument/2006/relationships/font" Target="fonts/IBMPlexSansLight-regular.ttf"/><Relationship Id="rId6" Type="http://schemas.openxmlformats.org/officeDocument/2006/relationships/font" Target="fonts/IBMPlexSansLight-bold.ttf"/><Relationship Id="rId7" Type="http://schemas.openxmlformats.org/officeDocument/2006/relationships/font" Target="fonts/IBMPlexSansLight-italic.ttf"/><Relationship Id="rId8" Type="http://schemas.openxmlformats.org/officeDocument/2006/relationships/font" Target="fonts/IBMPlexSansLight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