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Heading2"/>
        <w:spacing w:before="0" w:lineRule="auto"/>
        <w:rPr/>
      </w:pPr>
      <w:bookmarkStart w:colFirst="0" w:colLast="0" w:name="_2p14qghiwie4" w:id="0"/>
      <w:bookmarkEnd w:id="0"/>
      <w:r w:rsidDel="00000000" w:rsidR="00000000" w:rsidRPr="00000000">
        <w:rPr>
          <w:rtl w:val="0"/>
        </w:rPr>
        <w:t xml:space="preserve">Keys to the Investigation</w:t>
      </w:r>
    </w:p>
    <w:p w:rsidR="00000000" w:rsidDel="00000000" w:rsidP="00000000" w:rsidRDefault="00000000" w:rsidRPr="00000000" w14:paraId="00000002">
      <w:pPr>
        <w:spacing w:after="0" w:lineRule="auto"/>
        <w:rPr/>
      </w:pPr>
      <w:r w:rsidDel="00000000" w:rsidR="00000000" w:rsidRPr="00000000">
        <w:rPr>
          <w:b w:val="1"/>
          <w:rtl w:val="0"/>
        </w:rPr>
        <w:t xml:space="preserve">Directions:</w:t>
      </w:r>
      <w:r w:rsidDel="00000000" w:rsidR="00000000" w:rsidRPr="00000000">
        <w:rPr>
          <w:rtl w:val="0"/>
        </w:rPr>
        <w:t xml:space="preserve"> Use this organizer to collect evidence from your assigned MLK investigation.</w:t>
      </w:r>
    </w:p>
    <w:p w:rsidR="00000000" w:rsidDel="00000000" w:rsidP="00000000" w:rsidRDefault="00000000" w:rsidRPr="00000000" w14:paraId="00000003">
      <w:pPr>
        <w:spacing w:after="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604838</wp:posOffset>
            </wp:positionH>
            <wp:positionV relativeFrom="paragraph">
              <wp:posOffset>114300</wp:posOffset>
            </wp:positionV>
            <wp:extent cx="5643563" cy="7547651"/>
            <wp:effectExtent b="0" l="0" r="0" t="0"/>
            <wp:wrapSquare wrapText="bothSides" distB="114300" distT="114300" distL="114300" distR="114300"/>
            <wp:docPr id="2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43563" cy="7547651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sectPr>
      <w:headerReference r:id="rId7" w:type="default"/>
      <w:footerReference r:id="rId8" w:type="default"/>
      <w:pgSz w:h="15840" w:w="12240" w:orient="portrait"/>
      <w:pgMar w:bottom="1627.1999999999998" w:top="1324.8000000000002" w:left="720" w:right="72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IBM Plex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IBM Plex Sans Light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ewsreader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05">
    <w:pPr>
      <w:pStyle w:val="Heading6"/>
      <w:rPr>
        <w:b w:val="0"/>
      </w:rPr>
    </w:pPr>
    <w:bookmarkStart w:colFirst="0" w:colLast="0" w:name="_wz4xqz6ubvoc" w:id="2"/>
    <w:bookmarkEnd w:id="2"/>
    <w:r w:rsidDel="00000000" w:rsidR="00000000" w:rsidRPr="00000000">
      <w:rPr>
        <w:rtl w:val="0"/>
      </w:rPr>
      <w:t xml:space="preserve">Page </w:t>
    </w: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  <w:t xml:space="preserve"> </w:t>
    </w:r>
    <w:r w:rsidDel="00000000" w:rsidR="00000000" w:rsidRPr="00000000">
      <w:rPr>
        <w:b w:val="0"/>
        <w:rtl w:val="0"/>
      </w:rPr>
      <w:t xml:space="preserve">of </w:t>
    </w:r>
    <w:r w:rsidDel="00000000" w:rsidR="00000000" w:rsidRPr="00000000">
      <w:rPr>
        <w:b w:val="0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1</wp:posOffset>
          </wp:positionH>
          <wp:positionV relativeFrom="paragraph">
            <wp:posOffset>-59943</wp:posOffset>
          </wp:positionV>
          <wp:extent cx="6858000" cy="38100"/>
          <wp:effectExtent b="0" l="0" r="0" t="0"/>
          <wp:wrapNone/>
          <wp:docPr id="3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6858000" cy="38100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04">
    <w:pPr>
      <w:pStyle w:val="Heading5"/>
      <w:rPr/>
    </w:pPr>
    <w:bookmarkStart w:colFirst="0" w:colLast="0" w:name="_11dswytin9xs" w:id="1"/>
    <w:bookmarkEnd w:id="1"/>
    <w:r w:rsidDel="00000000" w:rsidR="00000000" w:rsidRPr="00000000">
      <w:rPr/>
      <w:drawing>
        <wp:anchor allowOverlap="1" behindDoc="0" distB="0" distT="0" distL="0" distR="0" hidden="0" layoutInCell="1" locked="0" relativeHeight="0" simplePos="0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2052275" cy="841248"/>
          <wp:effectExtent b="0" l="0" r="0" t="0"/>
          <wp:wrapSquare wrapText="bothSides" distB="0" distT="0" distL="0" distR="0"/>
          <wp:docPr id="1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052275" cy="841248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Newsreader" w:cs="Newsreader" w:eastAsia="Newsreader" w:hAnsi="Newsreader"/>
        <w:color w:val="393435"/>
        <w:sz w:val="24"/>
        <w:szCs w:val="24"/>
        <w:lang w:val="en"/>
      </w:rPr>
    </w:rPrDefault>
    <w:pPrDefault>
      <w:pPr>
        <w:spacing w:after="300" w:line="300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0" w:before="600" w:line="192.00000000000003" w:lineRule="auto"/>
    </w:pPr>
    <w:rPr>
      <w:rFonts w:ascii="IBM Plex Sans" w:cs="IBM Plex Sans" w:eastAsia="IBM Plex Sans" w:hAnsi="IBM Plex Sans"/>
      <w:b w:val="1"/>
      <w:color w:val="231f20"/>
      <w:sz w:val="120"/>
      <w:szCs w:val="120"/>
    </w:rPr>
  </w:style>
  <w:style w:type="paragraph" w:styleId="Heading2">
    <w:name w:val="heading 2"/>
    <w:basedOn w:val="Normal"/>
    <w:next w:val="Normal"/>
    <w:pPr>
      <w:keepNext w:val="1"/>
      <w:keepLines w:val="1"/>
      <w:spacing w:after="0" w:before="300" w:line="192.00000000000003" w:lineRule="auto"/>
    </w:pPr>
    <w:rPr>
      <w:rFonts w:ascii="IBM Plex Sans" w:cs="IBM Plex Sans" w:eastAsia="IBM Plex Sans" w:hAnsi="IBM Plex Sans"/>
      <w:b w:val="1"/>
      <w:color w:val="231f20"/>
      <w:sz w:val="64"/>
      <w:szCs w:val="64"/>
    </w:rPr>
  </w:style>
  <w:style w:type="paragraph" w:styleId="Heading3">
    <w:name w:val="heading 3"/>
    <w:basedOn w:val="Normal"/>
    <w:next w:val="Normal"/>
    <w:pPr>
      <w:keepNext w:val="1"/>
      <w:keepLines w:val="1"/>
      <w:spacing w:after="0" w:before="300" w:line="192.00000000000003" w:lineRule="auto"/>
    </w:pPr>
    <w:rPr>
      <w:rFonts w:ascii="IBM Plex Sans" w:cs="IBM Plex Sans" w:eastAsia="IBM Plex Sans" w:hAnsi="IBM Plex Sans"/>
      <w:b w:val="1"/>
      <w:color w:val="231f20"/>
      <w:sz w:val="30"/>
      <w:szCs w:val="30"/>
    </w:rPr>
  </w:style>
  <w:style w:type="paragraph" w:styleId="Heading4">
    <w:name w:val="heading 4"/>
    <w:basedOn w:val="Normal"/>
    <w:next w:val="Normal"/>
    <w:pPr>
      <w:keepNext w:val="1"/>
      <w:keepLines w:val="1"/>
      <w:spacing w:after="0" w:before="300" w:line="192.00000000000003" w:lineRule="auto"/>
    </w:pPr>
    <w:rPr>
      <w:rFonts w:ascii="IBM Plex Sans" w:cs="IBM Plex Sans" w:eastAsia="IBM Plex Sans" w:hAnsi="IBM Plex Sans"/>
      <w:b w:val="1"/>
      <w:color w:val="231f20"/>
    </w:rPr>
  </w:style>
  <w:style w:type="paragraph" w:styleId="Heading5">
    <w:name w:val="heading 5"/>
    <w:basedOn w:val="Normal"/>
    <w:next w:val="Normal"/>
    <w:pPr>
      <w:keepNext w:val="1"/>
      <w:keepLines w:val="1"/>
      <w:spacing w:after="600" w:line="192.00000000000003" w:lineRule="auto"/>
      <w:ind w:left="-720" w:firstLine="0"/>
      <w:jc w:val="right"/>
    </w:pPr>
    <w:rPr>
      <w:rFonts w:ascii="IBM Plex Sans" w:cs="IBM Plex Sans" w:eastAsia="IBM Plex Sans" w:hAnsi="IBM Plex Sans"/>
      <w:color w:val="504b4b"/>
      <w:sz w:val="20"/>
      <w:szCs w:val="20"/>
    </w:rPr>
  </w:style>
  <w:style w:type="paragraph" w:styleId="Heading6">
    <w:name w:val="heading 6"/>
    <w:basedOn w:val="Normal"/>
    <w:next w:val="Normal"/>
    <w:pPr>
      <w:keepNext w:val="1"/>
      <w:keepLines w:val="1"/>
      <w:spacing w:after="0" w:line="192.00000000000003" w:lineRule="auto"/>
      <w:ind w:left="-720" w:firstLine="0"/>
      <w:jc w:val="right"/>
    </w:pPr>
    <w:rPr>
      <w:rFonts w:ascii="IBM Plex Sans" w:cs="IBM Plex Sans" w:eastAsia="IBM Plex Sans" w:hAnsi="IBM Plex Sans"/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0" w:line="180" w:lineRule="auto"/>
    </w:pPr>
    <w:rPr>
      <w:rFonts w:ascii="IBM Plex Sans" w:cs="IBM Plex Sans" w:eastAsia="IBM Plex Sans" w:hAnsi="IBM Plex Sans"/>
      <w:b w:val="1"/>
      <w:color w:val="231f20"/>
      <w:sz w:val="220"/>
      <w:szCs w:val="220"/>
    </w:rPr>
  </w:style>
  <w:style w:type="paragraph" w:styleId="Subtitle">
    <w:name w:val="Subtitle"/>
    <w:basedOn w:val="Normal"/>
    <w:next w:val="Normal"/>
    <w:pPr>
      <w:keepNext w:val="1"/>
      <w:keepLines w:val="1"/>
      <w:spacing w:after="0" w:line="180" w:lineRule="auto"/>
    </w:pPr>
    <w:rPr>
      <w:rFonts w:ascii="IBM Plex Sans Light" w:cs="IBM Plex Sans Light" w:eastAsia="IBM Plex Sans Light" w:hAnsi="IBM Plex Sans Light"/>
      <w:color w:val="231f20"/>
      <w:sz w:val="120"/>
      <w:szCs w:val="12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2.jpg"/><Relationship Id="rId7" Type="http://schemas.openxmlformats.org/officeDocument/2006/relationships/header" Target="header1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IBMPlexSans-regular.ttf"/><Relationship Id="rId2" Type="http://schemas.openxmlformats.org/officeDocument/2006/relationships/font" Target="fonts/IBMPlexSans-bold.ttf"/><Relationship Id="rId3" Type="http://schemas.openxmlformats.org/officeDocument/2006/relationships/font" Target="fonts/IBMPlexSans-italic.ttf"/><Relationship Id="rId4" Type="http://schemas.openxmlformats.org/officeDocument/2006/relationships/font" Target="fonts/IBMPlexSans-boldItalic.ttf"/><Relationship Id="rId11" Type="http://schemas.openxmlformats.org/officeDocument/2006/relationships/font" Target="fonts/Newsreader-italic.ttf"/><Relationship Id="rId10" Type="http://schemas.openxmlformats.org/officeDocument/2006/relationships/font" Target="fonts/Newsreader-bold.ttf"/><Relationship Id="rId12" Type="http://schemas.openxmlformats.org/officeDocument/2006/relationships/font" Target="fonts/Newsreader-boldItalic.ttf"/><Relationship Id="rId9" Type="http://schemas.openxmlformats.org/officeDocument/2006/relationships/font" Target="fonts/Newsreader-regular.ttf"/><Relationship Id="rId5" Type="http://schemas.openxmlformats.org/officeDocument/2006/relationships/font" Target="fonts/IBMPlexSansLight-regular.ttf"/><Relationship Id="rId6" Type="http://schemas.openxmlformats.org/officeDocument/2006/relationships/font" Target="fonts/IBMPlexSansLight-bold.ttf"/><Relationship Id="rId7" Type="http://schemas.openxmlformats.org/officeDocument/2006/relationships/font" Target="fonts/IBMPlexSansLight-italic.ttf"/><Relationship Id="rId8" Type="http://schemas.openxmlformats.org/officeDocument/2006/relationships/font" Target="fonts/IBMPlexSansLight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